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Управи града Београда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Секретаријату за урбанизам и грађевинске послове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Краљице Марије 1, Београд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firstLine="70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Подносилац: _______________________ (име и презиме, адреса)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Предлози и примедбе на Нацрт измена и допуна Плана генералне регуације (ПГР) града Београда у оквиру Јавног увид у Нацрт измена и допуна ПГР грађевинског подручја седишта јединицалокалне самоуправе–Град Београд (целине И XIX)–(II фаза–1. етапа)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Примедбујем Нацрту у делу: фуснота 14 у оквиру табеле „Компатибилност намена“, те предлажем да се иста у целости брише тј. да се у целости обрише одредба из садржаја ПГР-а: “Пренамена површина за објекте и комплексе јавних служби, површина за спортске објекте и комплексе, саобраћајне површине и комуналне површине у површине осталих намена (за које није дата могућност пренамене у табели), дозвољена је само израдом плана детаљне регулације уз сагласност надлежних институција”, с обзиром на то да је неприхватљиво са аспекта правила струке, планског система и позитивних прописа да се одлуке о намени и коришћењу простора делегирају нижим планским документима за намену простора дефинисану планом овог реда.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Образложење: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Одлуке о намени простора не могу да се премештају са вишег нивоа планирања (ПГР)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 ho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 на ниво ПДР-а. 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Пример: </w:t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“9. У оквиру саобраћајних површина могу се планирати и пратећи комерцијални садржаји.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10. У оквиру комуналних површина – градских пијаца и гробља могу се планирати пратећи комерцијални садржаји.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12. У оквиру осталих зелених површина могу се планирати и друге намене,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искључиво израдом плана детаљне регулације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13. Компатибилност се примењује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искључиво приликом израде плана детаљне регулације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14. Пренамена површина за објекте и комплексе јавних служби, површина за спортске објекте и комплексе, саобраћајне површине и комуналне површине у површине осталих намена (за које није дата могућност пренамене у табели),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дозвољена је само израдом плана детаљне регулације уз сагласност надлежних институција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”, (текст  ИД ПГР Београда II фазе 1. Етапе, стр 5, курзив наш).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Предложена одредба омогућава да се одлуке о намени простора и/или о промени намене “спусте” са плана вишег реда, који сагледава потребе целог града и који је дужан да планира мреже јавне и социјалне инфраструктуре на целокупној територији града, на план нижег реда који сагледава појединачну локацију (која је најчешће у приватној својини). Овакав приступ доводи до парцијалних, краткорочних и инвеститорски мотивисаних одлука, које нису засноване на интегралности јавних система (образовног, здравственог, инфраструктурног, комуналног), нити на стратешком приступу планирању града.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Планови детаљне регулације су међусобно потенцијално неусклађени. Досадашње препуштање одговорности за израду ПДР-ова у домену финансирања, која датира од средине осамдесетих година двадесетог века, је већ довело до озбиљних конфликата у простору, како између урбаних актера са различитим интересима (становника и инвеститора), тако и конфликта између дугорочног, општег интереса развоја града као функционалног, са једне стране, и краткорочног партикуларног интереса остваривања једнократне добити, са друге стране. Другим речима: ако се допусти да се свуда по жељи инвеститора уместо школских дворишта сазидају комерцијални стамбени објекти, дугорочно ће град постати нефункционалан, а неће бити ни заинтересованих становника.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Скрећемо пажњу на то да је овакав стихијски приступ дефинисању намена у супротности са прокламованим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циљем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израде плана, који израђивач дефинише као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планско усаглашавање и преиспитивање намена, урбанистичких показатеља и параметара (....) на локацијама чија је реализација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у складу са развојним програмима и приоритетима града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” (курзив наш). Извртање хијерархије планске документације и формирање ПГР-а на основу захтева инвеститора изражених ПДР-овима не може бити у “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у складу са развојним програмима и приоритетима града”.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Неприхватљиво је да се општи интерес потчињава бројним појединачним интересима.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Усаглашавање ПГР-а са плановима нижег реда (ПДР) је у супротности са наведеним циљем израде ИД ПГР Београда II фазе 1. етапе и у делу који се тиче “анализе наведених локација са аспекта саобраћаја, инфраструктурне опремљености и установа социјалног стандарда” у аспектима (не)усклађености са позитивним прописима и због актуелне праксе. У актуелном систему, ПДР је пре свега израз захтева инвеститора, из које не може да произилази анализа саобраћаја, инфраструктурне опремљености (укључујући и желену инфраструктуру) и установа социјалног стандарда. Надаље, у аспекту праксе, већ деценијама сведочимо томе да се ПДР-овима у највећем броју случајева омогућава изградња комерцијалног стамбеног и комерцијалног простора комбинованих функција, а да се занемарују и саобраћај и  инфраструктурна опремљеност и установе социјалног стандарда.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роблематично и усаглашавање плана вишег реда (ПГР) са плановима нижег реда,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која је имплицирана у констатацији да је један од циљева израде ИД ПГР Београда II фазе 1. етапе</w:t>
      </w:r>
      <w:r w:rsidDel="00000000" w:rsidR="00000000" w:rsidRPr="00000000">
        <w:rPr>
          <w:rFonts w:ascii="Georgia" w:cs="Georgia" w:eastAsia="Georgia" w:hAnsi="Georgia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“планско усаглашавање и преиспитивање намена, урбанистичких показатеља и параметара у подручјима непосредног окружења планова који су донети у претходном периоду и то на локацијама где је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измена плана последица интегрисања планских решења из донетих планова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”, будући да у претходном периоду планови вишег реда (као што су ГУП Београда и Просторни план Републике Србије, нису доношени, а доношено је на стотине планова детаљне регулације).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Предлажемо да ПГР дефинише и пропише урбанистичке показатеље и параметре у стварном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у складу са развојним програмима и приоритетима града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а не да их преписује из планова нижег реда.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Одлучивањем о промени намене на нивоу ПДР-а, која се затим преписује у ПГР, се отвара додатна могућност корупције у домену планирања и изградње.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Предметним Нацртом п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лан губи своју регулаторну функцију. ПГР је по закону документ вишег реда чија основна сврха треба да буде то да обезбеди стабилност, развојне смернице и заштиту јавног интереса, као и јавног земљишта. Између осталих недостатака плана, предметна одредба у значајној мери доприноси томе да ПГР претвара у документ који не ограничава инвеститорски притисак на град и земљиште, већ га институционализује и поставља као императив, па чак и поставља изнад јавног интереса. На тај начин ПГР представља инструмент дерегулације, а не регулаторни  механизам.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432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Примедбујем Нацрту у делу 3.4. ЈАВНЕ ЗЕЛЕНЕ ПОВРШИНЕ У поглављу "Правила уређења и грађења за поједине типове зелених површина", под тачком "Зелене површине у приобаљу". Исти треба допунити тако што ће прописати:</w:t>
      </w:r>
    </w:p>
    <w:p w:rsidR="00000000" w:rsidDel="00000000" w:rsidP="00000000" w:rsidRDefault="00000000" w:rsidRPr="00000000" w14:paraId="0000001B">
      <w:pPr>
        <w:spacing w:after="240" w:befor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обнову и унапређење деградиране животне средине, рециклирање грађевинског земљишта и активирање раније индустријских, комуналних и саобраћајних намена и превентивну заштита од свих планираних активности које могу угрозити постојећи квалитет животне средине сходно начелу предострожности;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- у погледу (малих) градских водотока (I и II реда) и њиховог приобаља као битног елемента квалитета животне средине и друштвеног стандарда да се планирају, штите и санирају и еколошки обнове заједно са приобаљем;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Образложење:</w:t>
      </w:r>
    </w:p>
    <w:p w:rsidR="00000000" w:rsidDel="00000000" w:rsidP="00000000" w:rsidRDefault="00000000" w:rsidRPr="00000000" w14:paraId="0000001E">
      <w:pPr>
        <w:spacing w:after="240" w:befor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На ужем подручју града више десетина водотокова су током процеса урбанизације у целости уведени у канализационе системе, што је довело до трајног губитка овог типа елемента зелене инфраструктуре и његових еколошких функција (нпр. Булбудерски поток, Дубоки поток, поток Париповац, Репишки поток, Чубурски поток, делови Кумодрашког и Мокролушког потока и многи други).</w:t>
      </w:r>
    </w:p>
    <w:p w:rsidR="00000000" w:rsidDel="00000000" w:rsidP="00000000" w:rsidRDefault="00000000" w:rsidRPr="00000000" w14:paraId="0000001F">
      <w:pPr>
        <w:spacing w:after="240" w:befor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Неки водотокови су с друге стане уређени бетонским регулацијама које не подржавају интегритет природних процеса (Миријевки поток, Жарковачки поток и др.).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На територији града Београда укупно је (преко 160 малих водотока, девет језера и неколико површинских акумулација) и густа каналска мрежа (упоредиво са Елбом). Укупна дужина 1055км. Сава је, поређења ради, дуга 990km.</w:t>
      </w:r>
    </w:p>
    <w:p w:rsidR="00000000" w:rsidDel="00000000" w:rsidP="00000000" w:rsidRDefault="00000000" w:rsidRPr="00000000" w14:paraId="00000021">
      <w:pPr>
        <w:spacing w:after="240" w:befor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Изузетно много загађени водотоци који протичу кроз насељена места, као што су Велики Луг, Лукавица, Болечица, Грочица, Топчидерска, Железничка, Сопотска, Барајевска и Баричка рекa и др.</w:t>
      </w:r>
    </w:p>
    <w:p w:rsidR="00000000" w:rsidDel="00000000" w:rsidP="00000000" w:rsidRDefault="00000000" w:rsidRPr="00000000" w14:paraId="00000022">
      <w:pPr>
        <w:spacing w:after="240" w:befor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Иако веома важни као елементи зелене инфраструктуре, ови плаво-зелени коридори имају учешће од свега 0,01% у укупној површини града, односно заузимају површине од 8,70 ha. </w:t>
      </w:r>
    </w:p>
    <w:p w:rsidR="00000000" w:rsidDel="00000000" w:rsidP="00000000" w:rsidRDefault="00000000" w:rsidRPr="00000000" w14:paraId="00000023">
      <w:pPr>
        <w:spacing w:after="240" w:befor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С обзиром на све наведено у погледу чињеничног стања као и важећих докумената јавних политика на нивоу града и Републике, а у првом реду Стратегије зелене инфраструктуре града Београда,  објављен у Службеном листу града Београда број 179/24 од 31. децембра 2024. године, важећег Програма заштите животне средине града Београда и Акционог плана адаптације на климатске промене са проценом рањивости, где се зелена инфраструктура издваја као приоритетна мера прилагођавања на климатске промене, неопходно је удовољити овом предлогу и уважити примедбу, те унети у текст Нацрта тражене допуне.</w:t>
      </w:r>
    </w:p>
    <w:p w:rsidR="00000000" w:rsidDel="00000000" w:rsidP="00000000" w:rsidRDefault="00000000" w:rsidRPr="00000000" w14:paraId="00000024">
      <w:pPr>
        <w:spacing w:after="240" w:befor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Тзв. мали градски водотоци су од изузетног значаја за еколошку равнотежу, смањење ефекта "урбаних топлотних острва" и управљање атмосферским водама. Они повећавају биодиверзитет, пружају рекреативне зоне за грађане и обликују микроклиму града. Њихово довођење у добар еколошки статус се поставља као питање неопходности, а не жеље, јер су сада носиоци загађења и ризик по јавно здравље; мртве реке и потоци док би уз адекватне интервенције могли бити један од инструмената постизања квалитетне животне средине, одрживог управљања природним ресурсима и унапређења биодиверзитета, побољшања животне средине и квалитета живота грађана. Ради тога, ПГР треба да дефинише и начин уређења и коришћења приобаља у јавном интересу у општекорисне сврхе.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У Београду,</w:t>
      </w:r>
    </w:p>
    <w:p w:rsidR="00000000" w:rsidDel="00000000" w:rsidP="00000000" w:rsidRDefault="00000000" w:rsidRPr="00000000" w14:paraId="00000027">
      <w:pPr>
        <w:ind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19.2.2026.</w:t>
        <w:tab/>
        <w:tab/>
        <w:tab/>
        <w:tab/>
        <w:tab/>
        <w:tab/>
        <w:t xml:space="preserve">Подносилац:</w:t>
      </w:r>
    </w:p>
    <w:p w:rsidR="00000000" w:rsidDel="00000000" w:rsidP="00000000" w:rsidRDefault="00000000" w:rsidRPr="00000000" w14:paraId="00000028">
      <w:pPr>
        <w:ind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29">
      <w:pPr>
        <w:ind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  <w:tab/>
        <w:t xml:space="preserve">___________________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431.99999999999994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