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E73D1" w:rsidRDefault="00000000">
      <w:pPr>
        <w:spacing w:before="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АГЕНЦИЈА ЗА ПРОСТОРНО ПЛАНИРАЊЕ И УРБАНИЗАМ РЕПУБЛИКЕ СРБИЈЕ</w:t>
      </w:r>
    </w:p>
    <w:p w14:paraId="00000002" w14:textId="77777777" w:rsidR="005E73D1"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Краља Милутина бр. 10а</w:t>
      </w:r>
    </w:p>
    <w:p w14:paraId="00000003" w14:textId="77777777" w:rsidR="005E73D1"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11000, Београд</w:t>
      </w:r>
    </w:p>
    <w:p w14:paraId="00000004" w14:textId="77777777" w:rsidR="005E73D1" w:rsidRDefault="005E73D1">
      <w:pPr>
        <w:spacing w:line="240" w:lineRule="auto"/>
        <w:jc w:val="both"/>
        <w:rPr>
          <w:rFonts w:ascii="Times New Roman" w:eastAsia="Times New Roman" w:hAnsi="Times New Roman" w:cs="Times New Roman"/>
          <w:sz w:val="24"/>
          <w:szCs w:val="24"/>
        </w:rPr>
      </w:pPr>
    </w:p>
    <w:p w14:paraId="00000005" w14:textId="16060619" w:rsidR="005E73D1"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Подносилац:</w:t>
      </w:r>
      <w:r w:rsidR="0045236D">
        <w:rPr>
          <w:rFonts w:ascii="Times New Roman" w:eastAsia="Times New Roman" w:hAnsi="Times New Roman" w:cs="Times New Roman"/>
          <w:sz w:val="24"/>
          <w:szCs w:val="24"/>
        </w:rPr>
        <w:t>____________________________________________ (</w:t>
      </w:r>
      <w:r w:rsidR="0045236D">
        <w:rPr>
          <w:rFonts w:ascii="Times New Roman" w:eastAsia="Times New Roman" w:hAnsi="Times New Roman" w:cs="Times New Roman"/>
          <w:sz w:val="24"/>
          <w:szCs w:val="24"/>
          <w:lang w:val="sr-Cyrl-RS"/>
        </w:rPr>
        <w:t>име и презиме, адреса)</w:t>
      </w:r>
      <w:r>
        <w:rPr>
          <w:rFonts w:ascii="Times New Roman" w:eastAsia="Times New Roman" w:hAnsi="Times New Roman" w:cs="Times New Roman"/>
          <w:sz w:val="24"/>
          <w:szCs w:val="24"/>
        </w:rPr>
        <w:t>;</w:t>
      </w:r>
    </w:p>
    <w:p w14:paraId="00000006" w14:textId="77777777" w:rsidR="005E73D1" w:rsidRDefault="005E73D1">
      <w:pPr>
        <w:spacing w:line="240" w:lineRule="auto"/>
        <w:jc w:val="both"/>
        <w:rPr>
          <w:rFonts w:ascii="Times New Roman" w:eastAsia="Times New Roman" w:hAnsi="Times New Roman" w:cs="Times New Roman"/>
          <w:sz w:val="24"/>
          <w:szCs w:val="24"/>
        </w:rPr>
      </w:pPr>
    </w:p>
    <w:p w14:paraId="00000007" w14:textId="77777777" w:rsidR="005E73D1"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Примедбе и сугестије на Материјал за рани јавни увид - Просторни план подручја посебне намене Парка природе </w:t>
      </w:r>
      <w:r>
        <w:rPr>
          <w:rFonts w:ascii="Times New Roman" w:eastAsia="Times New Roman" w:hAnsi="Times New Roman" w:cs="Times New Roman"/>
          <w:sz w:val="24"/>
          <w:szCs w:val="24"/>
          <w:highlight w:val="white"/>
        </w:rPr>
        <w:t>„Голија”</w:t>
      </w:r>
    </w:p>
    <w:p w14:paraId="00000008" w14:textId="77777777" w:rsidR="005E73D1" w:rsidRDefault="005E73D1">
      <w:pPr>
        <w:spacing w:before="240"/>
        <w:jc w:val="both"/>
        <w:rPr>
          <w:rFonts w:ascii="Times New Roman" w:eastAsia="Times New Roman" w:hAnsi="Times New Roman" w:cs="Times New Roman"/>
          <w:sz w:val="24"/>
          <w:szCs w:val="24"/>
          <w:highlight w:val="white"/>
        </w:rPr>
      </w:pPr>
    </w:p>
    <w:p w14:paraId="00000009" w14:textId="77777777" w:rsidR="005E73D1" w:rsidRDefault="00000000">
      <w:pPr>
        <w:numPr>
          <w:ilvl w:val="0"/>
          <w:numId w:val="1"/>
        </w:numPr>
        <w:spacing w:before="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Скијалиште на Голији</w:t>
      </w:r>
    </w:p>
    <w:p w14:paraId="0000000A" w14:textId="77777777" w:rsidR="005E73D1" w:rsidRDefault="00000000">
      <w:pPr>
        <w:spacing w:before="240"/>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Примедбујемо Материјалу за рани јавни увид Просторног плана подручја посебне намене Парка природе „Голија” у делу Предлог планског решења који предвиђа развој скијашког подручја Голија, укључујући изградњу „модерног скијашког центра са свим припадајућим садржајима туристичке инфраструктуре (скијашке стазе, ски лифтови, итд.)”, тако да се напусти овај застарели приступ туристичком развоју који се по инерцији преузима из претходних планских докумената. На наведено планско решење подносим примедбу из следећих разлога:</w:t>
      </w:r>
    </w:p>
    <w:p w14:paraId="0000000B" w14:textId="77777777" w:rsidR="005E73D1" w:rsidRDefault="00000000">
      <w:pPr>
        <w:ind w:firstLine="720"/>
        <w:jc w:val="both"/>
        <w:rPr>
          <w:rFonts w:ascii="Times New Roman" w:eastAsia="Times New Roman" w:hAnsi="Times New Roman" w:cs="Times New Roman"/>
          <w:b/>
          <w:bCs/>
          <w:color w:val="000000"/>
          <w:sz w:val="24"/>
          <w:szCs w:val="24"/>
          <w:highlight w:val="white"/>
        </w:rPr>
      </w:pPr>
      <w:r>
        <w:rPr>
          <w:rFonts w:ascii="Times New Roman" w:eastAsia="Times New Roman" w:hAnsi="Times New Roman" w:cs="Times New Roman"/>
          <w:b/>
          <w:bCs/>
          <w:color w:val="000000"/>
          <w:sz w:val="24"/>
          <w:szCs w:val="24"/>
          <w:highlight w:val="white"/>
        </w:rPr>
        <w:t>Постоји неусаглашеност са важећим режимима заштите из Уредбе о проглашењу Парка природе „Голија”</w:t>
      </w:r>
      <w:r>
        <w:rPr>
          <w:rFonts w:ascii="Times New Roman" w:eastAsia="Times New Roman" w:hAnsi="Times New Roman" w:cs="Times New Roman"/>
          <w:b/>
          <w:bCs/>
          <w:sz w:val="24"/>
          <w:szCs w:val="24"/>
          <w:highlight w:val="white"/>
        </w:rPr>
        <w:t xml:space="preserve">. </w:t>
      </w:r>
      <w:r>
        <w:rPr>
          <w:rFonts w:ascii="Times New Roman" w:eastAsia="Times New Roman" w:hAnsi="Times New Roman" w:cs="Times New Roman"/>
          <w:sz w:val="24"/>
          <w:szCs w:val="24"/>
          <w:highlight w:val="white"/>
        </w:rPr>
        <w:t xml:space="preserve">Уредбом о проглашењу Парка природе „Голија” (Сл. гласник РС", бр. 88/2024) утврђени су режими заштите I, II и III степена, као и забране активности и радова у складу са чланом 35. Закона о заштити природе ("Сл. гласник РС", бр. 36/2009, 88/2010, 91/2010 - испр., 14/2016, 95/2018 - др. закон и 71/2021), при чему је чланом 6. Уредбе у режиму II степена заштите изричито забрањена изградња јавних скијалишта, скијашке инфраструктуре и туристичких објеката. Значајан део локалитета који се у Просторном плану помињу као носиоци планираног скијашког и туристичког развоја налази се унутар, непосредно уз или у функционалној вези са просторима под режимом II степена заштите, укључујући подручја Врхови–Одвраћеница, Голијску реку и шири простор Јанковог камена. Према Материјалу предвиђа се развој туристичких центара и целина у оквиру планинског ризорта „Голија”, као и изградњу скијашког центра чија би се инфраструктура простирала 6,5 km северно и 7,5 km источно од базног ризорта Врхови–Одвраћеница. Наведено планско решење, према приказаном концепту просторне организације и зонирања активности, непосредно се наслања или задире у просторе у којима је важећим режимом заштите изградња такве инфраструктуре изричито забрањена, чиме се уводи правна несигурност и доводи се у питање међусобна усклађеност предложених планских решења, режима заштите и основних циљева очувања интегритета заштићеног подручја. </w:t>
      </w:r>
    </w:p>
    <w:p w14:paraId="0000000C"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Постоји н</w:t>
      </w:r>
      <w:r>
        <w:rPr>
          <w:rFonts w:ascii="Times New Roman" w:eastAsia="Times New Roman" w:hAnsi="Times New Roman" w:cs="Times New Roman"/>
          <w:b/>
          <w:bCs/>
          <w:color w:val="000000"/>
          <w:sz w:val="24"/>
          <w:szCs w:val="24"/>
        </w:rPr>
        <w:t xml:space="preserve">есагласност са циљевима заштите природе и међународним статусом подручја. </w:t>
      </w:r>
      <w:r>
        <w:rPr>
          <w:rFonts w:ascii="Times New Roman" w:eastAsia="Times New Roman" w:hAnsi="Times New Roman" w:cs="Times New Roman"/>
          <w:sz w:val="24"/>
          <w:szCs w:val="24"/>
        </w:rPr>
        <w:t xml:space="preserve">Парк природе Голија није само национално заштићено подручје, већ је увршћен </w:t>
      </w:r>
      <w:r>
        <w:rPr>
          <w:rFonts w:ascii="Times New Roman" w:eastAsia="Times New Roman" w:hAnsi="Times New Roman" w:cs="Times New Roman"/>
          <w:sz w:val="24"/>
          <w:szCs w:val="24"/>
        </w:rPr>
        <w:lastRenderedPageBreak/>
        <w:t xml:space="preserve">и у EMERALD мрежу, док резерват биосфере „Голија–Студеница”, као његов интегрални део, ужива и међународни статус заштите у оквиру UNESCO MaB програма, што је констатовано и у Материјалу. Изградња ски стазе и скијашке инфраструктуре на поменутим локалитетима подразумевала би масовно крчење шума, просецање широких коридора, фрагментацију станишта, изградњу приступних путева, енергетску и хидротехничку инфраструктуру, значајне земљане радове, као и трајну измену предеоних и конзервацијских вредности. Слични негативни утицаји, укључујући крчење шума и нелегалну, дивљу градњу, већ су уочени у највећем скијашком центру у Србији, који се налази у оквиру Националног парка Копаоник. Неодговорно је само декларативно тврдити да ће изградња и функционисање овакве инфраструктуре бити усклађено за условима заштите поменутих вредности, када за то не постоји гаранција ни адекватан план мера које то осигуравају. Овакве интервенције су суштински супротне циљевима очувања због којих је простор Голије стекао национални и међународни статус заштите. </w:t>
      </w:r>
    </w:p>
    <w:p w14:paraId="0000000D"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highlight w:val="white"/>
        </w:rPr>
        <w:t>Климатск</w:t>
      </w:r>
      <w:r>
        <w:rPr>
          <w:rFonts w:ascii="Times New Roman" w:eastAsia="Times New Roman" w:hAnsi="Times New Roman" w:cs="Times New Roman"/>
          <w:b/>
          <w:bCs/>
          <w:sz w:val="24"/>
          <w:szCs w:val="24"/>
          <w:highlight w:val="white"/>
        </w:rPr>
        <w:t xml:space="preserve">е промене чине пројекат </w:t>
      </w:r>
      <w:r>
        <w:rPr>
          <w:rFonts w:ascii="Times New Roman" w:eastAsia="Times New Roman" w:hAnsi="Times New Roman" w:cs="Times New Roman"/>
          <w:b/>
          <w:bCs/>
          <w:color w:val="000000"/>
          <w:sz w:val="24"/>
          <w:szCs w:val="24"/>
          <w:highlight w:val="white"/>
        </w:rPr>
        <w:t>планираног скијашког центра н</w:t>
      </w:r>
      <w:r>
        <w:rPr>
          <w:rFonts w:ascii="Times New Roman" w:eastAsia="Times New Roman" w:hAnsi="Times New Roman" w:cs="Times New Roman"/>
          <w:b/>
          <w:bCs/>
          <w:sz w:val="24"/>
          <w:szCs w:val="24"/>
          <w:highlight w:val="white"/>
        </w:rPr>
        <w:t>еодрживим</w:t>
      </w:r>
      <w:r>
        <w:rPr>
          <w:rFonts w:ascii="Times New Roman" w:eastAsia="Times New Roman" w:hAnsi="Times New Roman" w:cs="Times New Roman"/>
          <w:b/>
          <w:bCs/>
          <w:color w:val="000000"/>
          <w:sz w:val="24"/>
          <w:szCs w:val="24"/>
          <w:highlight w:val="white"/>
        </w:rPr>
        <w:t xml:space="preserve">. </w:t>
      </w:r>
      <w:r>
        <w:rPr>
          <w:rFonts w:ascii="Times New Roman" w:eastAsia="Times New Roman" w:hAnsi="Times New Roman" w:cs="Times New Roman"/>
          <w:sz w:val="24"/>
          <w:szCs w:val="24"/>
          <w:highlight w:val="white"/>
        </w:rPr>
        <w:t xml:space="preserve">Концепт развоја великог скијашког центра на Голији заснива се на планским документима старим више од 15 година, насталим у периоду пре актуелних климатских пројекција и пре значајног пада поузданости снежног покривача у региону. Голија је планина чији највиши врх </w:t>
      </w:r>
      <w:r>
        <w:rPr>
          <w:rFonts w:ascii="Times New Roman" w:eastAsia="Times New Roman" w:hAnsi="Times New Roman" w:cs="Times New Roman"/>
          <w:sz w:val="24"/>
          <w:szCs w:val="24"/>
        </w:rPr>
        <w:t xml:space="preserve">Јанков камен </w:t>
      </w:r>
      <w:r>
        <w:rPr>
          <w:rFonts w:ascii="Times New Roman" w:eastAsia="Times New Roman" w:hAnsi="Times New Roman" w:cs="Times New Roman"/>
          <w:sz w:val="24"/>
          <w:szCs w:val="24"/>
          <w:highlight w:val="white"/>
        </w:rPr>
        <w:t xml:space="preserve">достиже 1833 mnv, док би значајан део скијашке инфраструктуре био на висинама испод 1500 mnv. </w:t>
      </w:r>
      <w:r>
        <w:rPr>
          <w:rFonts w:ascii="Times New Roman" w:eastAsia="Times New Roman" w:hAnsi="Times New Roman" w:cs="Times New Roman"/>
          <w:sz w:val="24"/>
          <w:szCs w:val="24"/>
        </w:rPr>
        <w:t>Нарочито напомињем да су висине испод 1500 метара надморске висине праг који се у Алпима сматра најнижом тачком на којој се скијалиште тренутно може сматрати одрживим у смислу снежних падавина за скијање. Скијалишта са само краткорочним изгледима за природни снег такође подижу значајне трошкове и бриге за животну средину ако покушају да се одрже са вештачким снегом. Са климатским променама, минимална висина присуства снега (или линија поузданости снега) ће се повећати (за око 150 метара за сваки пораст температуре од 1°С, према процени Европске агенције за животну средину), што имплицира знатно израженије смањење снежног покривача на малим надморским висинама.</w:t>
      </w:r>
      <w:r>
        <w:rPr>
          <w:rFonts w:ascii="Times New Roman" w:eastAsia="Times New Roman" w:hAnsi="Times New Roman" w:cs="Times New Roman"/>
          <w:sz w:val="24"/>
          <w:szCs w:val="24"/>
          <w:highlight w:val="white"/>
        </w:rPr>
        <w:t xml:space="preserve"> Е</w:t>
      </w:r>
      <w:r>
        <w:rPr>
          <w:rFonts w:ascii="Times New Roman" w:eastAsia="Times New Roman" w:hAnsi="Times New Roman" w:cs="Times New Roman"/>
          <w:sz w:val="24"/>
          <w:szCs w:val="24"/>
        </w:rPr>
        <w:t>колошки и друштвено - економски је неоправдано планирати и градити ски стазе и пратећу инфраструктуру када врло вероватно не постоји економска будућност за овај вид спорта и рекреације на тако малим надморским висинама и простору.</w:t>
      </w:r>
    </w:p>
    <w:p w14:paraId="0000000E"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таквим условима функционисање скијалишта би практично зависило од система вештачког оснежавања, који подразумева огромну потрошњу воде и енергије, изградњу акумулација и додатно оптерећење природних ресурса. Према проценама Међународне комисије за заштиту Алпа (CIPRA), за покривање једног хектара стазе вештачким снегом потребно је око милион литара воде. За претварање воде у снег, снежни топови на Алпима годишње троше енергије колико град са 130.000 становника, а воде колико град са милион становника. Истовремено, План Голију препознаје као једно од водно најзначајнијих и еколошки најочуванијих подручја Србије. У том контексту, планирање система оснежавања и нових акумулација унутар заштићеног подручја представља додатни ризик по водне ресурсе, станишта и предеоне вредности. </w:t>
      </w:r>
    </w:p>
    <w:p w14:paraId="0000000F"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Ради достизања одрживог развоја планског подручја који се помиње у материјалу, потребно је да климатске промене и утицаји измењених климатских услова на природне и антропогене пределе, биодиверзитет и екосистеме, туризам, становништво, пољопривреду, водоснабдевање и друго буду посебно разматрани овим планским документом. Због тога, приликом израде Нацрта потребно је узети у обзир Програм прилагођавања на измењене климатске услове за период од 2023. до 2030.године („Сл. гласник РС", бр. 119/2023) и интегрисати анализе утицаја климатских промена, препоруке и мере за прилагођавање у Нацрт плана (за области пољопривреде, шумарства, саобраћајне (путне) инфраструктура, водоснабдевања, биодиверзитета, урбаног развоја и друго).</w:t>
      </w:r>
    </w:p>
    <w:p w14:paraId="00000010"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Имајући у виду све наведено, предлажем да се из даљег поступка израде Просторног плана уклоне или суштински ревидирају планска решења која предвиђају изградњу скијашког центра и пратеће скијашке инфраструктуре на читавом подручју ПП Голија, посебно у зонама и уз зоне са установљеним режимима заштите.</w:t>
      </w:r>
    </w:p>
    <w:p w14:paraId="00000011" w14:textId="77777777" w:rsidR="005E73D1" w:rsidRDefault="005E73D1">
      <w:pPr>
        <w:jc w:val="both"/>
        <w:rPr>
          <w:rFonts w:ascii="Times New Roman" w:eastAsia="Times New Roman" w:hAnsi="Times New Roman" w:cs="Times New Roman"/>
          <w:sz w:val="24"/>
          <w:szCs w:val="24"/>
        </w:rPr>
      </w:pPr>
    </w:p>
    <w:p w14:paraId="00000012" w14:textId="77777777" w:rsidR="005E73D1" w:rsidRDefault="00000000">
      <w:pPr>
        <w:numPr>
          <w:ilvl w:val="0"/>
          <w:numId w:val="1"/>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Потреба за детаљнијим развојем одрживих и геотуристичких модела туризма у оквиру Парка природе „Голија“ </w:t>
      </w:r>
    </w:p>
    <w:p w14:paraId="00000013"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Примедбујемо </w:t>
      </w:r>
      <w:r>
        <w:rPr>
          <w:rFonts w:ascii="Times New Roman" w:eastAsia="Times New Roman" w:hAnsi="Times New Roman" w:cs="Times New Roman"/>
          <w:sz w:val="24"/>
          <w:szCs w:val="24"/>
          <w:highlight w:val="white"/>
        </w:rPr>
        <w:t>Материјалу у делу Предлог планског решења који предвиђа правце туристичког развоја Голије.</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Анализом стратешких и планских докумената за простор Голије уочава се разилажење у ставовима између просторних планера и стручњака из других области. Међутим, обе групе су се сагласиле да је поштовање националних и међународних прописа у области заштите природе од суштинског значаја за одрживи развој туризма. Кључни правци развоја требало би да буду усмерени на три основна аспекта: активну Голију (летње и зимске активности), рурално-традиционалну Голију и заштићене природне вредности Голије.</w:t>
      </w:r>
      <w:r>
        <w:rPr>
          <w:sz w:val="20"/>
          <w:szCs w:val="20"/>
          <w:highlight w:val="white"/>
        </w:rPr>
        <w:t xml:space="preserve"> </w:t>
      </w:r>
    </w:p>
    <w:p w14:paraId="00000014"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Иако се у Материјалу препознају потенцијали одрживих облика туризма попут пешачког, еко, агро, руралног, научно-образовног, верског, културног и рекреативног, они остају недовољно просторно и плански разрађени, док значајан део развојног концепта и даље остаје усмерен ка инфраструктурно интензивним облицима туристичког развоја. Планом је препозната потреба за очувањем културног предела и обавезе које произилазе из Европске конвенције о пределу, због чега је неопходно много снажније интегрисати концепт предеоног планирања у туристички развој Голије. То подразумева да туристички садржаји, инфраструктура и просторна организација морају бити подређени очувању предеоног идентитета, визуелног интегритета и традиционалног карактера простора, а не обрнуто. Шта више, само приступ који негује, а не уништава овакав карактер гарантује и дугорочну економску добробит подручја.</w:t>
      </w:r>
    </w:p>
    <w:p w14:paraId="00000015"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Научни рад „Geotourism Based on Geoheritage as a Basis for the Sustainable Development of the Golija Nature Park“ из 2025. године, посебно указује да Голија поседује изузетан потенцијал за развој геотуризма заснованог на геонаслеђу, едукативним садржајима, пешачким и бициклистичким рутама, интерпретацији предела и повезивању природног и културног наслеђа. Идентификовани су конкретни локалитети и просторне </w:t>
      </w:r>
      <w:r>
        <w:rPr>
          <w:rFonts w:ascii="Times New Roman" w:eastAsia="Times New Roman" w:hAnsi="Times New Roman" w:cs="Times New Roman"/>
          <w:sz w:val="24"/>
          <w:szCs w:val="24"/>
        </w:rPr>
        <w:lastRenderedPageBreak/>
        <w:t xml:space="preserve">целине које имају висок потенцијал за развој интегрисаног геотуризма и образовног туризма, укључујући цирк Јанков камен, Кошанинова језера, Дајићко језеро, Округлицу, водопаде Изубре, водопад Савошница, Врањи крш, пећине код Стрмца, Тлачине и Тенјкова, као и простор испоснице Светог Саве и долину Студенице. У овим локалитетима постоји значајан потенцијал за развој научног, спелеолошког, верског и руралног туризма, уз јачање локалних смештајних капацитета мањег обима и повезивање туристичких садржаја са локалним заједницама и традиционалним делатностима. </w:t>
      </w:r>
    </w:p>
    <w:p w14:paraId="00000016"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Посебно би требало размотрити развој интегрисаних рута за пешачење и планинарење које би повезивале геонаслеђе Голије са културним и верским наслеђем Студенице, Градца и долине Ибра, као и јачање научно-образовне функције Парка природе кроз сарадњу са универзитетима, истраживачким институцијама и образовним установама уместо да овакви развојни приступи остану само декларативни. </w:t>
      </w:r>
    </w:p>
    <w:p w14:paraId="00000017"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Управо би овакви облици туризма били најкомпатибилнији са установљеним режимима заштите природе, UNESCO MаB статусом заштите и очувањем природног интегритета Голије, за разлику од модела масовног скијашког туризма који заузима примарну позицију у Материјалу. </w:t>
      </w:r>
    </w:p>
    <w:p w14:paraId="00000018"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 наведених разлога предлажем да се у даљој изради Просторног плана туристички развој Голије примарно усмери ка нискоинтензивним и целогодишњим облицима туризма заснованим на геонаслеђу, пределу, културном наслеђу, локалном идентитету и традиционалним делатностима, уз значајно детаљнију разраду геотуристичких, едукативних, руралних и рекреативних модела туризма који су у већој мери усклађени са циљевима заштите и дугорочног одрживог управљања простором. Потребно је укључити додатне експерте, попут туризмолога и климатолога који би сагледали алтернативне правце развоја и усмерили одрживи развој туристичке дестинације Голија ка развоју одрживих и еколошких прихватљивих специфичних облика туризма, који су прилагођенији условима измењене, топлије климе са мање мразних и ледених дана.</w:t>
      </w:r>
    </w:p>
    <w:p w14:paraId="00000019" w14:textId="77777777" w:rsidR="005E73D1" w:rsidRDefault="00000000">
      <w:pPr>
        <w:numPr>
          <w:ilvl w:val="0"/>
          <w:numId w:val="1"/>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Заштита водотокова </w:t>
      </w:r>
    </w:p>
    <w:p w14:paraId="0000001A" w14:textId="77777777" w:rsidR="005E73D1" w:rsidRDefault="00000000">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Примедбујемо</w:t>
      </w:r>
      <w:r>
        <w:rPr>
          <w:rFonts w:ascii="Times New Roman" w:eastAsia="Times New Roman" w:hAnsi="Times New Roman" w:cs="Times New Roman"/>
          <w:sz w:val="24"/>
          <w:szCs w:val="24"/>
          <w:highlight w:val="white"/>
        </w:rPr>
        <w:t xml:space="preserve"> планским решењима </w:t>
      </w:r>
      <w:r>
        <w:rPr>
          <w:rFonts w:ascii="Times New Roman" w:eastAsia="Times New Roman" w:hAnsi="Times New Roman" w:cs="Times New Roman"/>
          <w:sz w:val="24"/>
          <w:szCs w:val="24"/>
        </w:rPr>
        <w:t>у делу који се односи на изградњу акумулација и хидроенергетских пројеката. У Материјалу се задржава концепт интензивног водопривредног и хидроенергетског коришћења простора Голије и сливова њених река, укључујући слив Студенице, иако истовремено препознаје изузетан значај очуваности хидрографске мреже, биодиверзитета и предеоних вредности овог подручја. Управо у томе се уочава једна од суштинских противречности: са једне стране простор се представља као подручје од изузетног природног значаја, део UNESCO Резервата биосфере „Голија–Студеница”, простор високог степена очуваности и приоритет заштите, док се са друге стране, по инерцији, задржавају и преузимају планска решења која подразумевају акумулације, вештачку регулацију водотокова и коришћења у хидроенергетске сврхе.</w:t>
      </w:r>
    </w:p>
    <w:p w14:paraId="0000001B" w14:textId="77777777" w:rsidR="005E73D1" w:rsidRDefault="00000000">
      <w:pPr>
        <w:spacing w:before="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 делу који се односи на Просторни план Републике Србије, Материјал преузима одредбу о резервисању простора за вишенаменску акумулацију „Препрана” на реци Студеници, са наменама које укључују водоснабдевање, енергетику, заштиту од поплава, оплемењавање малих вода, рибарство и туризам. Међутим, у нигде не врши критичко преиспитивање овог планског наслеђа у односу на садашњи статус заштите простора, нова сазнања о стању екосистема, климатских промена, кумулативне последице постојећих интервенција у сливу и обавезе које произилазе из међународних конвенција и европског законодавства у области заштите вода и природе. Осим тога, Стратегија управљања водама, даје приоритет оптимизацији локалних водоизворишта, посебно за општину Рашка и град Нови Пазар, док као прву алтернативу наводи повезивање Краљева на РВС Рзав. Превиђа се неискоришћена могућност за водоснабдевање Краљева из акумулације Гружа посредством резервоара „Шумари”. Из овог резервоара се Краљеву могу обезбедити додатне количине воде (тренутно се занемарљиве количине вода користе за пар сеоских насеља). У сваком случају у Стратегијом разматраним алтернативама, искоришћење подземних вода за локалне самоуправе на чијим територијама се налази ПП Голија и плански обухват овог ПППН, има апсолутни приоритет, што у великој мери елиминише потребу за изградњом акумулација за Студеници, Људској реци, Моравици, Градцу, Ношаници. </w:t>
      </w:r>
    </w:p>
    <w:p w14:paraId="0000001C"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Истовремено, у делу који се односи на регионалне просторне планове, Материјал додатно афирмише концепт Голије као „једног од воднијих и еколошки очуванијих подручја Србије” и простора у коме се планира развој више вишенаменских водопривредних система и изградња већег броја акумулација. На овај начин се очуваност простора истовремено користи као аргумент за његову заштиту, али и као аргумент за његово водопривредно искоришћавање. Управо је ова логика спорна, јер се очувани планински водотоци и релативно ненарушени сливови третирају као „ресурс” за будуће интервенције, иако су њихова природност и слободан ток једна од основних вредности због којих простор уопште има статус заштићеног подручја и међународно признатог резервата биосфере. </w:t>
      </w:r>
    </w:p>
    <w:p w14:paraId="0000001D"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Материјал у делу који описује постојеће стање већ констатује да су поједини водотоци и изворишта на простору Голије претрпели промене, као и да су планиране мини-хидроелектране одређиване на основу застарелог катастара из 1987, пре успостављања режима заштите и без сагледавања реалног стања екосистема. Истовремено се наводи да преграђивање и деривација воде за потребе мини-хидроелектрана представљају директан утицај на биодиверзитет и деградацију екосистема Голије. Међутим, и поред оваквих констатација, Материјал не предвиђа јасно искључење даљег хидроенергетског коришћења водотокова, нити утврђује недвосмислен став да су слободно текуће реке једна од темељних вредности простора које морају остати изузете од будућих интервенција.</w:t>
      </w:r>
    </w:p>
    <w:p w14:paraId="0000001E"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Посебан проблем представља чињеница да Материјал не прави јасну разлику између водоснабдевачке и енергетске функције планираних акумулација. У случају акумулације „Препрана”, различите функције се наводе истовремено и без јасног одређења шта </w:t>
      </w:r>
      <w:r>
        <w:rPr>
          <w:rFonts w:ascii="Times New Roman" w:eastAsia="Times New Roman" w:hAnsi="Times New Roman" w:cs="Times New Roman"/>
          <w:sz w:val="24"/>
          <w:szCs w:val="24"/>
        </w:rPr>
        <w:lastRenderedPageBreak/>
        <w:t>представља приоритет, у ком обиму би се вршило регулисање протицаја и какве би последице такво управљање имало по екосистем Студенице. Управо због тога се под појмом „вишенаменске акумулације” фактички задржава могућност будућег хидроенергетског коришћења реке. То је нарочито спорно имајући у виду да свака акумулација, без обзира на формалну намену, подразумева преграђивање водотока, успоравање тока, промену температурног режима, задржавање наноса, измену транспорта органске материје и прекид биодиверзитета и еколошког континуитета реке, а посебно је штетан феномен познат као “hydropeaking” карактеристичан за овакве акумулације и разоран за низвнодне екосистеме.</w:t>
      </w:r>
    </w:p>
    <w:p w14:paraId="0000001F"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Поред акумулације „Препрана”, Материјал предвиђа и изградњу акумулација „Рокци” на реци Ношници, „Људска река” на Људској реци, „Куманица” на Моравици и „Градац” на Градачкој реци, које су сврстане у изворишта вода од регионалног и републичког значаја за комплексно решење водоснабдевања становништва. Међутим, Материјал не садржи детаљну анализу еколошких последица формирања ових акумулација, нити процену њихових кумулативних и синергетских утицаја на хидролошки режим, речни континуитет, транспорт наноса, квалитет вода и функционисање акватичних екосистема на ширем простору Голије. Посебно је спорно што се изградња већег броја акумулација планира управо на водотоцима који се у самом Материјалу истовремено описују као еколошки очувани и значајни за функционисање регионалних водних и природних система.</w:t>
      </w:r>
    </w:p>
    <w:p w14:paraId="00000020"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Материјал такође не образлаже због чега су решења заснована на преграђивању река и формирању акумулација оцењена као прихватљивија од алтернативних приступа заснованих на очувању природних изворишта, смањењу губитака у водоводној мрежи, рационализацији потрошње воде и заштити постојећих водних ресурса. Истовремено, не разматра се у довољној мери чињеница да би измена природног режима ових водотокова могла довести до трајних промена карактера предела, деградације станишта и додатне фрагментације већ осетљивих екосистема.</w:t>
      </w:r>
    </w:p>
    <w:p w14:paraId="00000021"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Слив Студенице представља један од најочуванијих речних система у овом делу Србије. У истраживањима спроведеним на доњем току Студенице забележено је присуство већег броја аутохтоних и заштићених врста риба, укључујући строго заштићене врсте као што су пеш (Cottus gobio) и балкански вијун (Sabanajewia balcanica). Посебно је значајно што у истраживаном делу тока нису регистроване алохтоне врсте, што је данас изузетно ретко у речним системима Србије и представља показатељ високог степена очуваности екосистема. Такође је указано да доњи ток Студенице има значајну улогу у миграцији и мресту риба из Ибра, што значи да очуваност речног континуитета има суштински значај за функционисање читавог сливног система.</w:t>
      </w:r>
    </w:p>
    <w:p w14:paraId="00000022"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анализама стања екосистема Студенице указује да су многе притоке већ деградиране изградњом минихидроелектрана, деривацијама и зацевљивањем водотокова. Већина је изграђена у границама парка природе и то МХЕ Калудра на р. Савошници, МХЕ Девићи на Брусничкој реци, МХЕ Рогопеч на Дајићкој реки и Брусничкој реци, МХЕ Студеница на Студеници, МХЕ Бревина на реци Бревини чија изградња није обустављена упркос изричитој законској одредби из чл. 38. Самостални чланови Закона о изменама и </w:t>
      </w:r>
      <w:r>
        <w:rPr>
          <w:rFonts w:ascii="Times New Roman" w:eastAsia="Times New Roman" w:hAnsi="Times New Roman" w:cs="Times New Roman"/>
          <w:sz w:val="24"/>
          <w:szCs w:val="24"/>
        </w:rPr>
        <w:lastRenderedPageBreak/>
        <w:t>допунама Закона о заштити природе ("Сл. гласник РС", бр. 71/2021), док је изван парка природе МХЕ Грајићи на Грајићкој реци и Вратишњаку. Њихова изградња довела је до прекида миграторних путева риба, деградације станишта и нарушавања хидролошког режима. Указује се и на то да су постојеће рибље стазе на појединим објектима нефункционалне, да минимални одрживи протицаји нису адекватно одређени и да се вода у појединим деоницама готово у потпуности преусмерава у цевоводе до машинских зграда где се производи електрична енергија, остављајући делове корита без довољне количине воде за опстанак акватичних организама. Ова девастација је и упозорење на штету која се очекује уколико се наставе интервенције на овом, из угла заштите биодиверзитета врло значајном, пределу.</w:t>
      </w:r>
    </w:p>
    <w:p w14:paraId="00000023" w14:textId="77777777" w:rsidR="005E73D1" w:rsidRDefault="00000000">
      <w:pPr>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Материјал не разматра кумулативне и синергетске ефекте оваквих интервенција на нивоу целог слива. Значајни ефекти могу настати као резултат интеракције између бројних мањих утицаја постојећих објеката и даљих активности у сливном подручју Студенице. Пример деловања "бројних мањих утицаја" је поменута масовна реализација МХЕ, која, имајући у виду велики број таквих објеката, има веома неповољне еколошке ефекте на широком простору који се Уредбом ставља под заштиту. Кумулативни ефекти настају када појединачна секторска решења немају значајан утицај, а неколико индивидуалних ефеката заједно могу да имају значајан ефекат. Синергетски ефекти настају у интеракцији појединачних утицаја који производе укупни ефекат који је већи од простог збира појединачних утицаја. Управо због тога Оквирна директива о водама (2000/60/ЕC) захтева сагледавање кумулативних и синергетских ефеката и спречавање погоршања статуса водних тела. Баш зато што се у претходном периоду уопште нису спроводили поступци оцене прихватљивости ни студије о процени утицаја, а оне које јесу најчешће нису обухватале и процену кумулативних и синергетских ефеката, градња МХЕ на сливу Студенице је имала девастацијски ефекат на заштићено природно добро, предео који је перспективан Емералд подручје и просторне и предеоне вредности и животну средину уопште на ширем подручју и изван граница парка природе. У случају </w:t>
      </w:r>
    </w:p>
    <w:p w14:paraId="00000024" w14:textId="77777777" w:rsidR="005E73D1" w:rsidRDefault="00000000">
      <w:pPr>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Студенице, даље преграђивање и формирање акумулација довело би до промене карактера природног водног тела и његовог преласка у значајно измењено водно тело, што је у директној супротности са основним циљевима Оквирне директиве о водама.</w:t>
      </w:r>
    </w:p>
    <w:p w14:paraId="00000025" w14:textId="77777777" w:rsidR="005E73D1" w:rsidRDefault="00000000">
      <w:pPr>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Поред значаја за ихтиофауну, Студеница има и изузетан значај за орнитофауну. Подаци о присуству воденкоса (Cinclus cinclus) указују да доњи ток Студенице представља једно од најзначајнијих станишта ове врсте у Србији. Посебно је важно што се ради о врсти која је непосредно везана за брзе, чисте и кисеоником богате планинске реке, због чега представља поуздан индикатор очуваности речних екосистема. У анализама је указано да би формирање акумулације довело до потапања и трајног губитка делова станишта значајних за исхрану, зимовање и гнежђење воденкоса, као и до додатне фрагментације већ угрожених популација. Ово је од непосредног значаја у контексту Директиве о птицама и Бернске конвенције, које обавезују на очување станишта дивљих врста и спречавање њихове деградације.</w:t>
      </w:r>
    </w:p>
    <w:p w14:paraId="00000026"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Такође у довољној мери се не разматрају последице акумулација по квалитет вода и дугорочну одрживост водоснабдевања. У стручним анализама се указује да акумулације на планинским рекама доводе до успоравања тока, таложења наноса, убрзане еутрофикације, губитка самопречишћавајуће способности и постепеног погоршања квалитета воде. Указује се и на чињеницу да су поједине акумулације у Србији већ након неколико деценија изгубиле значајан део капацитета услед замуљивања. У том смислу је посебно спорно што се изградња акумулација у Материјалу представља као мера обезбеђивања водоснабдевања, а не разматрају се алтернативни приступи засновани на очувању природних водотокова, локалних изворишта и самопречишћавајуће функције планинских река.</w:t>
      </w:r>
    </w:p>
    <w:p w14:paraId="00000027"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Имајући у виду све наведено, сматрам да Материјал није у довољној мери усаглашен са циљевима заштите Парка природе „Голија”, принципима Оквирне директиве о водама, Директиве о стаништима, Директиве о птицама, Бернске конвенције и Европске конвенције о пределу. Такође, подсећамо да постоји велико противљење и становништва овим плановима, као и да је више од 200 научника упутило јавни апел за очување слива Студенице. Због тога је неопходно да се из планских решења искључе могућности изградње нових вишенаменских акумулација, као и да се током израде Нацрта не разматра изградња нових минихидроелектрана, у сливу Студенице и другим очуваним деловима хидрографске мреже Голије, као и да се јасно утврди темељан план очувања и заштите постојећих речних водотокова због њихових значајних природних вредности.</w:t>
      </w:r>
    </w:p>
    <w:p w14:paraId="00000028"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Оквирна директива о водама прописује забрану погоршања статуса вода и обавезује државе да спрече погоршање статуса свих површинских вода.</w:t>
      </w:r>
    </w:p>
    <w:p w14:paraId="00000029"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Хидротехнички радови у виду изградње хидроелектарна и акумулација без обзира за запремину по правилу прекидају лонгитудиналну повезаност реке, мењају режим протока, мењају седиментни транспорт, деградирају станишта и рибље миграције, по правилу доводе до погоршања еколошког статуса водног тела. </w:t>
      </w:r>
    </w:p>
    <w:p w14:paraId="0000002A"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Студеницу је посебно важно очување природног тока, очување хидроморфолошког интегритета, очување еколошког континуитета. </w:t>
      </w:r>
    </w:p>
    <w:p w14:paraId="0000002B"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Акумулације и ХЕ су неускладиве са циљем „доброг еколошког статуса“ и принципом непогоршања. </w:t>
      </w:r>
    </w:p>
    <w:p w14:paraId="0000002C"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обзиром на резултате пројеката: “Успостављање еколошке мреже на територији Републике Србије и Успостављање еколошки значајних подручја Европске Уније НАТУРА 2000 на територији Републике Србије, доњи ток Студенице изван граница парка природе, а у границама просторног лана, идентификован је као pSCI Studenica SRBPEZ146 што подразумева обавезу делотворне заштите обавезу још пре формалног проглашења у складу са домаћим прописима и одредбама Директиве о стаништима. Принцип превенције односи се и на ова подручја и чија се деградација  мора спречити и пре формалног проглашења Натура 2000 подручја. </w:t>
      </w:r>
    </w:p>
    <w:p w14:paraId="0000002D"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Директива о птицама налаже очување станишта птица, спречавање деградације подручја важних за птице, посебне мере заштите за миграторне и угрожене врсте и посебне </w:t>
      </w:r>
      <w:r>
        <w:rPr>
          <w:rFonts w:ascii="Times New Roman" w:eastAsia="Times New Roman" w:hAnsi="Times New Roman" w:cs="Times New Roman"/>
          <w:sz w:val="24"/>
          <w:szCs w:val="24"/>
        </w:rPr>
        <w:lastRenderedPageBreak/>
        <w:t>мере очувања станишта. Студеница је најзначајније станиште воденкоса у Србији док је у клисури Студенице евидентирано око 150 врста птица.</w:t>
      </w:r>
    </w:p>
    <w:p w14:paraId="0000002E"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Конвенција о пределу налаже да се препозна и заштите карактер предела односо уважи чињеница да је читав слив Студенице културни предео што налаже неопходност интегрисања заштите предела у просторнм планирању, спречавање деградације карактеристичних пејзажа (у које спадају не само предели у границама парка природе, већ и врло очуване и репрезентативне клисуре Студенице низводно од Бревине до ушћа у Ибар. </w:t>
      </w:r>
    </w:p>
    <w:p w14:paraId="0000002F"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Како се слив Студенице сматра културним пределом, планом треба предвидети очување аутентичног речног пејзажа.</w:t>
      </w:r>
    </w:p>
    <w:p w14:paraId="00000030"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Потенцијална изградња мини, микро, малих и хидроелектрана велике снаге, као и акумулација без обзира на запремину би трајно променила визуелни идентитет простора, довело до потапања традиционалних пејзаже и нарушавања културно-историјског континуитета што би све било супротно принципима интегрисаног управљања пределом.</w:t>
      </w:r>
    </w:p>
    <w:p w14:paraId="00000031"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обзиром на све наведено, неопходно је изричито забранити изградњу:</w:t>
      </w:r>
    </w:p>
    <w:p w14:paraId="00000032" w14:textId="77777777" w:rsidR="005E73D1" w:rsidRDefault="005E73D1">
      <w:pPr>
        <w:ind w:firstLine="720"/>
        <w:jc w:val="both"/>
        <w:rPr>
          <w:rFonts w:ascii="Times New Roman" w:eastAsia="Times New Roman" w:hAnsi="Times New Roman" w:cs="Times New Roman"/>
          <w:sz w:val="24"/>
          <w:szCs w:val="24"/>
        </w:rPr>
      </w:pPr>
    </w:p>
    <w:p w14:paraId="00000033" w14:textId="77777777" w:rsidR="005E73D1"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мини, микро и малих хидроелектрана без обзира на тип на читавом планском подручју;</w:t>
      </w:r>
    </w:p>
    <w:p w14:paraId="00000034" w14:textId="77777777" w:rsidR="005E73D1"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изградњу малих акумулација на читавом планском подручју;</w:t>
      </w:r>
    </w:p>
    <w:p w14:paraId="00000035" w14:textId="77777777" w:rsidR="005E73D1"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изградњу вишенаменских акумулација са претежном наменом водоснабдевања, с обзиром да постоје економски, еколошки и техничко - технолошки повољнија решења која су већ у примени, као и алтернативе. </w:t>
      </w:r>
    </w:p>
    <w:p w14:paraId="00000036" w14:textId="77777777" w:rsidR="005E73D1" w:rsidRDefault="005E73D1">
      <w:pPr>
        <w:ind w:firstLine="720"/>
        <w:jc w:val="both"/>
        <w:rPr>
          <w:rFonts w:ascii="Times New Roman" w:eastAsia="Times New Roman" w:hAnsi="Times New Roman" w:cs="Times New Roman"/>
          <w:sz w:val="24"/>
          <w:szCs w:val="24"/>
        </w:rPr>
      </w:pPr>
    </w:p>
    <w:p w14:paraId="00000037" w14:textId="77777777" w:rsidR="005E73D1"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Управљање отпадом</w:t>
      </w:r>
    </w:p>
    <w:p w14:paraId="00000038" w14:textId="77777777" w:rsidR="005E73D1" w:rsidRDefault="00000000">
      <w:pPr>
        <w:spacing w:before="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Примедбујемо на Материјал у делу који се односи на управљање отпадом, јер су у поглављу које се односи на комунални отпад изнете тврдње које нису поткрепљене довољно прецизним и поузданим подацима о стварном стању на терену. На страни 32 Материјала наводи се да су „заступљене мање количине, махом комуналног отпада (отпад из домаћинстава, који није опасан)“, док се у наставку истог пасуса констатује да је присутно формирање локалних депонија „дисперзно по целом подручју“, често на еколошки неповољним локацијама, као и да не постоји прецизна евиденција о броју локалних депонија, нити о количинама генерисаног и сакупљеног отпада.</w:t>
      </w:r>
    </w:p>
    <w:p w14:paraId="00000039"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Уколико не постоје прецизни подаци о врстама и количинама отпада који се генерише на планском подручју, као ни подаци о дивљим и несанитарним депонијама, њиховом броју, локацијама и структури отпада који је на њима одложен, није јасно на основу чега је изведен закључак да су на подручју заступљене искључиво или претежно мање количине неопасног комуналног отпада. При томе, Материјал не прави јасну разлику између дивљих депонија и несанитарних депонија, тј. сметлишта, иако су у питању различите категорије у смислу Закона о управљању отпадом („Сл. гласник РС“, бр. 109/2025) и различитог нивоа ризика по животну средину.</w:t>
      </w:r>
    </w:p>
    <w:p w14:paraId="0000003A"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Посебно је спорно што се у опису стања практично занемарује постојање опасног отпада и посебних токова отпада, иако је извесно да се такве врсте отпада генеришу и на овом подручју. Члан 5, став 36 Закона о управљању отпадом („Сл. гласник РС“, бр. 109/2025) дефинише посебне токове отпада као токове за чије је управљање потребно прописати посебне мере које се односе на сакупљање, транспорт, складиштење и третман. У те токове спадају, између осталог, истрошене батерије и акумулатори, отпадна уља, отпад од електричних и електронских производа, отпадне гуме, амбалажа и амбалажни отпад, отпад од грађења и рушења, медицински и фармацеутски отпад и друге врсте отпада дефинисане Законом.</w:t>
      </w:r>
    </w:p>
    <w:p w14:paraId="0000003B"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домаћинствима, на која се Материјал непосредно реферише, несумњиво настају истрошене батерије и акумулатори који се, у складу са Правилником о начину и поступку управљања истрошеним батеријама и акумулаторима („Сл. гласник РС“, бр. 86/2010), означавају према садржају опасних материја као што су жива, кадмијум и олово. То значи да се на планском подручју генерише најмање једна врста опасног отпада. Поред тога, отпад од електричних и електронских производа који настаје у домаћинствима, укључујући белу технику и друге уређаје, у складу са чланом 63 Закона о управљању отпадом има карактер посебног тока отпада и често садржи опасне компоненте. Опасан отпад из домаћинстава чине и отпадна уља у смислу члана 61 Закона о управљању отпадом, као и боје, лакови, пестициди и други производи који могу садржати опасне материје.</w:t>
      </w:r>
    </w:p>
    <w:p w14:paraId="0000003C"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Такође, Материјал не разматра у довољној мери специфичности планског подручја у погледу сезоналности и интензитета генерисања отпада. Имајући у виду да се кроз планска решења предвиђа развој туристичке дестинације Голија, укључујући ширење смештајних капацитета, развој туристичке и саобраћајне инфраструктуре, изградњу туристичких центара, спортско-рекреативних садржаја и других објеката, очекивано је значајно повећање количина различитих врста отпада. То се не односи искључиво на комунални отпад, већ и на отпад од грађења и рушења, комерцијални отпад, амбалажни отпад, био-отпад, као и отпад који припада посебним токовима отпада.</w:t>
      </w:r>
    </w:p>
    <w:p w14:paraId="0000003D"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том смислу, посебно је важно указати да се отпад од грађења и рушења не може третирати у оквиру мера предвиђених за комунални отпад, јер је реч о посебном току отпада у смислу члана 5, став 36 Закона о управљању отпадом („Сл. гласник РС“, бр. 109/2025), за који је неопходно предвидети специфичне мере сакупљања, транспорта, складиштења, третмана и одлагања. Ово је нарочито важно имајући у виду да планирани развој туристичке и друге инфраструктуре подразумева значајан обим грађевинских радова, а самим тим и повећано генерисање ове врсте отпада, укључујући и потенцијално опасан отпад од грађења и рушења.</w:t>
      </w:r>
    </w:p>
    <w:p w14:paraId="0000003E"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Материјал такође не разматра у довољној мери питање комерцијалног и индустријског отпада који ће неминовно настајати са развојем туристичких, угоститељских, услужних и других делатности на планском подручју. У складу са чланом 5, став 15 Закона о управљању отпадом, комерцијални отпад је отпад који настаје у привредним друштвима, установама и другим институцијама које се у целини или делимично баве трговином, </w:t>
      </w:r>
      <w:r>
        <w:rPr>
          <w:rFonts w:ascii="Times New Roman" w:eastAsia="Times New Roman" w:hAnsi="Times New Roman" w:cs="Times New Roman"/>
          <w:sz w:val="24"/>
          <w:szCs w:val="24"/>
        </w:rPr>
        <w:lastRenderedPageBreak/>
        <w:t>услугама, канцеларијским пословима, спортом, рекреацијом или забавом, осим комуналног и индустријског отпада. Такође, у складу са чланом 5, став 11 и чланом 7, став 3 истог закона, индустријски отпад представља отпад из било које индустрије или са локације на којој се налази индустрија, осим јаловине настале приликом истраживања, експлоатације, припреме и складиштења минералних сировина. Материјал ова питања не сагледава у довољној мери, иако ће планирани развој различитих делатности неминовно довести до генерисања ових врста отпада.</w:t>
      </w:r>
    </w:p>
    <w:p w14:paraId="0000003F"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Поред тога, Материјал недовољно разматра питање амбалаже и амбалажног отпада. Амбалажни отпад представља посебан ток отпада у смислу члана 74 Закона о управљању отпадом, а не искључиво рециклабилни отпад од амбалаже за храну и пиће. Потребно је имати у виду да постоји и амбалажа која је садржала или садржи опасне материје, услед чега и сама постаје опасан отпад. Оваква врста отпада генерише се како у домаћинствима, тако и у комерцијалним и туристичким објектима.</w:t>
      </w:r>
    </w:p>
    <w:p w14:paraId="00000040"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Даље, Програмом управљања отпадом у Републици Србији за период 2022–2031. године („Сл. гласник РС“, бр. 12/2022) дефинисани су региони за управљање отпадом у Републици Србији. Од посебног је значаја да се приликом израде Нацрта узме у обзир чињеница да јединице локалне самоуправе на чијим територијама се простире планско подручје припадају различитим регионима за управљање отпадом. Тако Иванјица припада региону „Ужице“, Нови Пазар и Рашка региону „Рашка“, Краљево региону „Краљево“, а Сјеница региону „Нова Варош“. Истовремено, пројекти регионалних центара за управљање отпадом и изградње регионалних санитарних депонија нису у потпуности реализовани, док постојећа несанитарна сметлишта представљају значајан еколошки ризик и нису усклађена са стандардима заштите животне средине. Такође, није успостављен адекватан систем примарне сепарације отпада, нити ефикасан систем управљања посебним токовима отпада. У таквим околностима, неопходно је да Материјал објективније сагледа реалне капацитете постојећег система управљања отпадом у односу на обим планираног развоја подручја.</w:t>
      </w:r>
    </w:p>
    <w:p w14:paraId="00000041"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Имајући у виду да се ради о простору изузетне еколошке осетљивости, који обухвата заштићено природно добро, резерват биосфере, туристичке зоне и подручја са сезонским повећањем броја корисника простора, сматра се да је неопходно значајно детаљније и систематичније обрадити питање управљања отпадом у Нацрту Просторног плана. То подразумева прецизно утврђивање врста и количина отпада који се генерише, анализу свих токова отпада, сагледавање сезоналних варијација, процену кумулативних утицаја на животну средину, као и потпуно усклађивање планских решења са Законом о управљању отпадом („Сл. гласник РС“, бр. 109/2025), Планом превенције стварања отпада („Сл. гласник РС“, бр. 17/2025) и Програмом управљања отпадом у Републици Србији за период 2022–2031. године („Сл. гласник РС“, бр. 12/2022).</w:t>
      </w:r>
    </w:p>
    <w:p w14:paraId="00000042" w14:textId="77777777" w:rsidR="005E73D1" w:rsidRDefault="005E73D1">
      <w:pPr>
        <w:jc w:val="both"/>
        <w:rPr>
          <w:rFonts w:ascii="Times New Roman" w:eastAsia="Times New Roman" w:hAnsi="Times New Roman" w:cs="Times New Roman"/>
          <w:sz w:val="24"/>
          <w:szCs w:val="24"/>
        </w:rPr>
      </w:pPr>
    </w:p>
    <w:p w14:paraId="00000043" w14:textId="77777777" w:rsidR="005E73D1"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Инфраструктурни развој </w:t>
      </w:r>
    </w:p>
    <w:p w14:paraId="00000044" w14:textId="77777777" w:rsidR="005E73D1" w:rsidRDefault="00000000">
      <w:pPr>
        <w:spacing w:before="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Материјал предвиђа развој и реконструкцију саобраћајне, туристичке и друге инфраструктуре на ширем простору Голије, укључујући изградњу нових туристичких </w:t>
      </w:r>
      <w:r>
        <w:rPr>
          <w:rFonts w:ascii="Times New Roman" w:eastAsia="Times New Roman" w:hAnsi="Times New Roman" w:cs="Times New Roman"/>
          <w:sz w:val="24"/>
          <w:szCs w:val="24"/>
        </w:rPr>
        <w:lastRenderedPageBreak/>
        <w:t>садржаја, приступних путева и инфраструктурно опремање туристичких зона. Међутим, у Материјалу није у довољној мери размотрено из којих извора ће се обезбеђивати велике количине камена, шљунка и другог материјала неопходног за реализацију оваквих интервенција, нити какве би последице то могло имати по простор Парка природе и његову непосредну околину.</w:t>
      </w:r>
    </w:p>
    <w:p w14:paraId="00000045"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Ово је посебно значајно имајући у виду да су на ширем простору Голије и њене непосредне околине већ присутни постојећи или потенцијални каменоломи, мајдани, позајмишта и истражна поља за минералне сировине, укључујући локалитете на Радочелу, у долини Студенице, као и више локација техничко-грађевинског камена и позајмишта која су повезана са изградњом и реконструкцијом путне инфраструктуре. У појединим деловима простора већ су уочљиве последице деградације терена, усецања падина, ерозивних процеса и нарушавања предеоних карактеристика услед експлоатације материјала и инфраструктурних радова. У даљој разради Нацрта плана неоходно је сагледати у којој мери би планирани инфраструктурни и туристички развој могао довести до проширења постојећих експлоатационих поља, отварања нових позајмишта, формирања депонија ископаног материјала, изградње сервисних и приступних путева или интензивнијег коришћења материјала из речних долина и алувијалних наноса.</w:t>
      </w:r>
    </w:p>
    <w:p w14:paraId="00000046"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Такође неопходно је размотрити однос оваквих интервенција према заштити предела, геоморфолошких карактеристика простора, стабилности терена и очувању природних и шумских екосистема. У планинским пределима као што је Голија, последице позајмишта, усека, насипа и експлоатације камена често остају трајно видљиве и након престанка радова, при чему је неопходно размотрити и критеријуме санације и рекултивације оваквих простора, као и дугорочне ефекте на предеоне вредности и визуелни интегритет простора.</w:t>
      </w:r>
    </w:p>
    <w:p w14:paraId="00000047"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Имајући ово све у виду, сматрамо да је у даљој изради Нацрта Просторног плана неопходно детаљније размотрити питање обезбеђивања материјала за инфраструктурне радове, потенцијалних локација позајмишта и експлоатационих поља, као и њихових кумулативних утицаја на простор Парка природе и његову непосредну околину. У том смислу, потребно је укључити стручњаке из области геологије, инжењерске геологије, геоморфологије, шумарства, хидрологије, заштите природе, просторног планирања и предеоне екологије, како би се адекватно сагледале последице оваквих интервенција на стабилност терена, ерозивне процесе, водотокове, предео и еколошку повезаност простора.</w:t>
      </w:r>
    </w:p>
    <w:p w14:paraId="00000048"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Такође сматрамо да је неопходно детаљније размотрити усклађеност оваквих потенцијалних активности са одредбама Закона о заштити природе („Сл. гласник РС“, бр. 36/2009, 88/2010, 91/2010 – испр., 14/2016, 95/2018 – др. закон и 71/2021), Закона о рударству и геолошким истраживањима („Сл. гласник РС“, бр. 101/2015, 95/2018 – др. закон и 40/2021), Закона о процени утицаја на животну средину („Сл. гласник РС“, бр. 94/2024), као и </w:t>
      </w:r>
      <w:r>
        <w:rPr>
          <w:rFonts w:ascii="Times New Roman" w:eastAsia="Times New Roman" w:hAnsi="Times New Roman" w:cs="Times New Roman"/>
          <w:sz w:val="24"/>
          <w:szCs w:val="24"/>
          <w:highlight w:val="white"/>
        </w:rPr>
        <w:t>Уредбом о проглашењу Парка природе „Голија” (Сл. гласник РС", бр. 88/2024)</w:t>
      </w:r>
      <w:r>
        <w:rPr>
          <w:rFonts w:ascii="Times New Roman" w:eastAsia="Times New Roman" w:hAnsi="Times New Roman" w:cs="Times New Roman"/>
          <w:sz w:val="24"/>
          <w:szCs w:val="24"/>
        </w:rPr>
        <w:t xml:space="preserve">. </w:t>
      </w:r>
    </w:p>
    <w:p w14:paraId="00000049" w14:textId="77777777" w:rsidR="005E73D1" w:rsidRDefault="005E73D1">
      <w:pPr>
        <w:jc w:val="both"/>
        <w:rPr>
          <w:rFonts w:ascii="Times New Roman" w:eastAsia="Times New Roman" w:hAnsi="Times New Roman" w:cs="Times New Roman"/>
          <w:sz w:val="24"/>
          <w:szCs w:val="24"/>
        </w:rPr>
      </w:pPr>
    </w:p>
    <w:p w14:paraId="0000004A" w14:textId="77777777" w:rsidR="005E73D1"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Стратешка процена утицаја ППППН</w:t>
      </w:r>
    </w:p>
    <w:p w14:paraId="0000004B" w14:textId="77777777" w:rsidR="005E73D1" w:rsidRDefault="00000000">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Примедба се односи на израду Стратешке процене утицаја Просторног плана подручја посебне намене Парка природе „Голија“ на животну средину. У Одлуци о изради Стратешке процене утицаја („Сл. гласник РС“, бр. 21/2025) наведено је да ће „стручни тим за израду Стратешке процене бити састављен од стручњака одговарајућег профила“, као и да је „носилац израде Стратешке процене Агенција за просторно планирање и урбанизам Републике Србије“. Имајући у виду изузетну осетљивост и биолошку вредност планског подручја, као и његов значај за очување укупног биодиверзитета Републике Србије, сматра се да је неопходно да у изради Стратешке процене учествују и стручњаци из области биологије, екологије и заштите природе, односно дипломирани биолози, дипломирани биолози заштите животне средине и дипломирани еколози.</w:t>
      </w:r>
    </w:p>
    <w:p w14:paraId="0000004C" w14:textId="77777777" w:rsidR="005E73D1" w:rsidRDefault="00000000">
      <w:pPr>
        <w:spacing w:before="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Као што је предочено и у претходним примедбама, подручје Резервата биосфере „Голија – Студеница“ међународно је признато у оквиру UNESCO MаB програма и представља део светске мреже резервата биосфере. Истовремено, читав простор резервата налази се у обухвату заштићеног подручја Парка природе „Голија“. Поред тога, у складу са Уредбом о еколошкој мрежи („Сл. гласник РС“, бр. 102/2010), подручје Голије представља део еколошки значајних подручја Републике Србије, а истовремено је препознато и као IPA, IBA и PBA подручје.</w:t>
      </w:r>
    </w:p>
    <w:p w14:paraId="0000004D"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Имајући у виду наведено, сматра се да Стратешка процена мора бити усмерена на детаљно сагледавање могућих утицаја планских решења на природне вредности простора, као и на дефинисање свих неопходних мера заштите биодиверзитета, очување станишта, популација биљака, животиња и микроорганизама, укључујући ендемичне, реликтне и строго заштићене врсте, као и очување функционалности природних екосистема.</w:t>
      </w:r>
    </w:p>
    <w:p w14:paraId="0000004E"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Посебно се указује на значај примене Закона о стратешкој процени утицаја на животну средину („Сл. гласник РС“, бр. 94/2024), нарочито члана 9, став 6, којим је прописано да се у поступку стратешке процене прибавља „одлука надлежног органа донета у поступку претходне оцене прихватљивости за планове и програме који самостално или заједно са другим планом и програмом, пројектом, радовима или активностима, могу да имају утицаја на циљеве очувања и целовитост подручја еколошке мреже“. Имајући у виду да се предметно подручје налази у оквиру еколошке мреже, неопходно је да овај аспект буде у потпуности обухваћен поступком Стратешке процене.</w:t>
      </w:r>
    </w:p>
    <w:p w14:paraId="0000004F" w14:textId="77777777" w:rsidR="005E73D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Такође, чланом 14 истог Закона прописано је да Извештај о стратешкој процени за планове и програме који могу имати утицаја на циљеве очувања и целовитост подручја еколошке мреже „обавезно обухвата посебно издвојене информације о подручју еколошке мреже, мерама спречавања и ублажавања негативних утицаја плана и програма на еколошку мрежу“. Имајући у виду степен природне очуваности и међународни значај подручја Голије, сматра се да је укључивање стручњака из области биологије, екологије и заштите природе неопходно како би се обезбедила стручно утемељена, објективна и свеобухватна процена могућих утицаја Просторног плана на животну средину, а нарочито на природне вредности, еколошку мрежу и биодиверзитет овог подручја.</w:t>
      </w:r>
    </w:p>
    <w:p w14:paraId="00000050" w14:textId="77777777" w:rsidR="005E73D1" w:rsidRDefault="005E73D1">
      <w:pPr>
        <w:jc w:val="both"/>
        <w:rPr>
          <w:rFonts w:ascii="Times New Roman" w:eastAsia="Times New Roman" w:hAnsi="Times New Roman" w:cs="Times New Roman"/>
          <w:sz w:val="24"/>
          <w:szCs w:val="24"/>
        </w:rPr>
      </w:pPr>
    </w:p>
    <w:p w14:paraId="00000051" w14:textId="77777777" w:rsidR="005E73D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 Београду,</w:t>
      </w:r>
    </w:p>
    <w:p w14:paraId="00000052" w14:textId="77777777" w:rsidR="005E73D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18.5.2026. године</w:t>
      </w:r>
    </w:p>
    <w:p w14:paraId="00000053" w14:textId="77777777" w:rsidR="005E73D1" w:rsidRDefault="005E73D1">
      <w:pPr>
        <w:jc w:val="both"/>
        <w:rPr>
          <w:rFonts w:ascii="Times New Roman" w:eastAsia="Times New Roman" w:hAnsi="Times New Roman" w:cs="Times New Roman"/>
          <w:sz w:val="24"/>
          <w:szCs w:val="24"/>
        </w:rPr>
      </w:pPr>
    </w:p>
    <w:p w14:paraId="00000054" w14:textId="77777777" w:rsidR="005E73D1"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Подносилац:</w:t>
      </w:r>
    </w:p>
    <w:p w14:paraId="00000055" w14:textId="77777777" w:rsidR="005E73D1" w:rsidRDefault="005E73D1">
      <w:pPr>
        <w:jc w:val="right"/>
        <w:rPr>
          <w:rFonts w:ascii="Times New Roman" w:eastAsia="Times New Roman" w:hAnsi="Times New Roman" w:cs="Times New Roman"/>
          <w:sz w:val="24"/>
          <w:szCs w:val="24"/>
        </w:rPr>
      </w:pPr>
    </w:p>
    <w:p w14:paraId="00000056" w14:textId="77777777" w:rsidR="005E73D1" w:rsidRDefault="00000000">
      <w:pPr>
        <w:jc w:val="right"/>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________________________</w:t>
      </w:r>
    </w:p>
    <w:p w14:paraId="1A2768FE" w14:textId="2D1AA04C" w:rsidR="0045236D" w:rsidRPr="0045236D" w:rsidRDefault="0045236D">
      <w:pPr>
        <w:jc w:val="right"/>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(име и презиме, потпис)</w:t>
      </w:r>
    </w:p>
    <w:sectPr w:rsidR="0045236D" w:rsidRPr="0045236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467E765-2138-4241-AB2F-423D1CB0AE7C}"/>
  </w:font>
  <w:font w:name="Cambria">
    <w:panose1 w:val="02040503050406030204"/>
    <w:charset w:val="00"/>
    <w:family w:val="roman"/>
    <w:pitch w:val="variable"/>
    <w:sig w:usb0="E00006FF" w:usb1="420024FF" w:usb2="02000000" w:usb3="00000000" w:csb0="0000019F" w:csb1="00000000"/>
    <w:embedRegular r:id="rId2" w:fontKey="{379A43A9-7AF5-47E4-A904-F87E18B1F74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194725"/>
    <w:multiLevelType w:val="multilevel"/>
    <w:tmpl w:val="1F5C4F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69F76F27"/>
    <w:multiLevelType w:val="multilevel"/>
    <w:tmpl w:val="F7308A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90774519">
    <w:abstractNumId w:val="1"/>
  </w:num>
  <w:num w:numId="2" w16cid:durableId="943000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3D1"/>
    <w:rsid w:val="0045236D"/>
    <w:rsid w:val="005E73D1"/>
    <w:rsid w:val="00965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7AC5B"/>
  <w15:docId w15:val="{7EC6EC8E-34CD-4BE4-9784-F6F6BFC7C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5839</Words>
  <Characters>33284</Characters>
  <Application>Microsoft Office Word</Application>
  <DocSecurity>0</DocSecurity>
  <Lines>277</Lines>
  <Paragraphs>78</Paragraphs>
  <ScaleCrop>false</ScaleCrop>
  <Company/>
  <LinksUpToDate>false</LinksUpToDate>
  <CharactersWithSpaces>39045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Zaklina Zivkovic</cp:lastModifiedBy>
  <cp:revision>2</cp:revision>
  <dcterms:created xsi:type="dcterms:W3CDTF">2026-05-18T13:12:00Z</dcterms:created>
  <dcterms:modified xsi:type="dcterms:W3CDTF">2026-05-18T13:13:00Z</dcterms:modified>
</cp:coreProperties>
</file>